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75CC52" w14:textId="77777777" w:rsidR="00FE067E" w:rsidRDefault="00CD36CF" w:rsidP="004B7F95">
      <w:pPr>
        <w:pStyle w:val="TitlePageOrigin"/>
      </w:pPr>
      <w:r>
        <w:t>WEST virginia legislature</w:t>
      </w:r>
    </w:p>
    <w:p w14:paraId="1F2C1944" w14:textId="77777777" w:rsidR="00CD36CF" w:rsidRDefault="00B837E9" w:rsidP="004B7F95">
      <w:pPr>
        <w:pStyle w:val="TitlePageSession"/>
      </w:pPr>
      <w:r>
        <w:t>20</w:t>
      </w:r>
      <w:r w:rsidR="0011072C">
        <w:t>2</w:t>
      </w:r>
      <w:r w:rsidR="004708CE">
        <w:t>5</w:t>
      </w:r>
      <w:r w:rsidR="00CD36CF">
        <w:t xml:space="preserve"> regular session</w:t>
      </w:r>
    </w:p>
    <w:p w14:paraId="79D2175F" w14:textId="77777777" w:rsidR="00665226" w:rsidRDefault="00A15FAD" w:rsidP="004B7F95">
      <w:pPr>
        <w:pStyle w:val="TitlePageBillPrefix"/>
      </w:pPr>
      <w:sdt>
        <w:sdtPr>
          <w:tag w:val="IntroDate"/>
          <w:id w:val="-1236936958"/>
          <w:placeholder>
            <w:docPart w:val="9BC56ED9899645F1B8FD738CDE55A236"/>
          </w:placeholder>
          <w:text/>
        </w:sdtPr>
        <w:sdtEndPr/>
        <w:sdtContent>
          <w:r w:rsidR="00665226">
            <w:t>Committee Substitute</w:t>
          </w:r>
        </w:sdtContent>
      </w:sdt>
    </w:p>
    <w:p w14:paraId="0BD7A2C5" w14:textId="77777777" w:rsidR="00665226" w:rsidRPr="00AC3B58" w:rsidRDefault="00665226" w:rsidP="004B7F95">
      <w:pPr>
        <w:pStyle w:val="TitlePageBillPrefix"/>
        <w:rPr>
          <w:szCs w:val="36"/>
        </w:rPr>
      </w:pPr>
      <w:r>
        <w:rPr>
          <w:szCs w:val="36"/>
        </w:rPr>
        <w:t>for</w:t>
      </w:r>
    </w:p>
    <w:p w14:paraId="6A8C1630" w14:textId="77777777" w:rsidR="00665226" w:rsidRDefault="00A15FAD" w:rsidP="004B7F95">
      <w:pPr>
        <w:pStyle w:val="TitlePageBillPrefix"/>
      </w:pPr>
      <w:sdt>
        <w:sdtPr>
          <w:tag w:val="IntroDate"/>
          <w:id w:val="-1104263907"/>
          <w:placeholder>
            <w:docPart w:val="80C2DDE908AB4333B1AF44E3DB86B0C2"/>
          </w:placeholder>
          <w:text/>
        </w:sdtPr>
        <w:sdtEndPr/>
        <w:sdtContent>
          <w:r w:rsidR="00665226">
            <w:t>Committee Substitute</w:t>
          </w:r>
        </w:sdtContent>
      </w:sdt>
    </w:p>
    <w:p w14:paraId="1B3C193D" w14:textId="77777777" w:rsidR="00665226" w:rsidRPr="00AC3B58" w:rsidRDefault="00665226" w:rsidP="004B7F95">
      <w:pPr>
        <w:pStyle w:val="TitlePageBillPrefix"/>
        <w:rPr>
          <w:szCs w:val="36"/>
        </w:rPr>
      </w:pPr>
      <w:r>
        <w:rPr>
          <w:szCs w:val="36"/>
        </w:rPr>
        <w:t>for</w:t>
      </w:r>
    </w:p>
    <w:p w14:paraId="6BA0FEEB" w14:textId="77777777" w:rsidR="00CD36CF" w:rsidRDefault="00A15FAD" w:rsidP="004B7F95">
      <w:pPr>
        <w:pStyle w:val="BillNumber"/>
      </w:pPr>
      <w:sdt>
        <w:sdtPr>
          <w:tag w:val="Chamber"/>
          <w:id w:val="893011969"/>
          <w:lock w:val="sdtLocked"/>
          <w:placeholder>
            <w:docPart w:val="DFBC7EE94D964264B94845AB21BA653C"/>
          </w:placeholder>
          <w:dropDownList>
            <w:listItem w:displayText="House" w:value="House"/>
            <w:listItem w:displayText="Senate" w:value="Senate"/>
          </w:dropDownList>
        </w:sdtPr>
        <w:sdtEndPr/>
        <w:sdtContent>
          <w:r w:rsidR="008C01E4">
            <w:t>House</w:t>
          </w:r>
        </w:sdtContent>
      </w:sdt>
      <w:r w:rsidR="00303684">
        <w:t xml:space="preserve"> </w:t>
      </w:r>
      <w:r w:rsidR="00CD36CF">
        <w:t xml:space="preserve">Bill </w:t>
      </w:r>
      <w:sdt>
        <w:sdtPr>
          <w:tag w:val="BNum"/>
          <w:id w:val="1645317809"/>
          <w:lock w:val="sdtLocked"/>
          <w:placeholder>
            <w:docPart w:val="CA79228F0EFD4749A542AD0115583887"/>
          </w:placeholder>
          <w:text/>
        </w:sdtPr>
        <w:sdtEndPr/>
        <w:sdtContent>
          <w:r w:rsidR="008C01E4" w:rsidRPr="008C01E4">
            <w:t>2441</w:t>
          </w:r>
        </w:sdtContent>
      </w:sdt>
    </w:p>
    <w:p w14:paraId="1A605B55" w14:textId="77777777" w:rsidR="008C01E4" w:rsidRDefault="008C01E4" w:rsidP="004B7F95">
      <w:pPr>
        <w:pStyle w:val="References"/>
        <w:rPr>
          <w:smallCaps/>
        </w:rPr>
      </w:pPr>
      <w:r>
        <w:rPr>
          <w:smallCaps/>
        </w:rPr>
        <w:t>By Delegate Street</w:t>
      </w:r>
    </w:p>
    <w:p w14:paraId="7D9C9D53" w14:textId="317ADEDC" w:rsidR="008C01E4" w:rsidRDefault="00CD36CF" w:rsidP="008C01E4">
      <w:pPr>
        <w:pStyle w:val="References"/>
      </w:pPr>
      <w:r>
        <w:t>[</w:t>
      </w:r>
      <w:r w:rsidR="008E6473">
        <w:t xml:space="preserve">Reported </w:t>
      </w:r>
      <w:sdt>
        <w:sdtPr>
          <w:id w:val="-32107996"/>
          <w:placeholder>
            <w:docPart w:val="23A38D634173422E83535A649B9AF2D2"/>
          </w:placeholder>
          <w:text/>
        </w:sdtPr>
        <w:sdtEndPr/>
        <w:sdtContent>
          <w:r w:rsidR="00025513">
            <w:t>February 28, 2025</w:t>
          </w:r>
        </w:sdtContent>
      </w:sdt>
      <w:r w:rsidR="008E6473">
        <w:t xml:space="preserve">, from the Committee on </w:t>
      </w:r>
      <w:sdt>
        <w:sdtPr>
          <w:tag w:val="References"/>
          <w:id w:val="-1043047873"/>
          <w:placeholder>
            <w:docPart w:val="4184D69E04874CA588DE97230A4FEE42"/>
          </w:placeholder>
          <w:text w:multiLine="1"/>
        </w:sdtPr>
        <w:sdtEndPr/>
        <w:sdtContent>
          <w:r w:rsidR="00025513">
            <w:t>the Judiciary</w:t>
          </w:r>
        </w:sdtContent>
      </w:sdt>
      <w:r w:rsidR="008E6473">
        <w:t>]</w:t>
      </w:r>
    </w:p>
    <w:p w14:paraId="7C4C63FF" w14:textId="2F94A2BD" w:rsidR="008C01E4" w:rsidRPr="004A2139" w:rsidRDefault="00025513" w:rsidP="008C01E4">
      <w:pPr>
        <w:pStyle w:val="TitleSection"/>
        <w:rPr>
          <w:color w:val="auto"/>
        </w:rPr>
      </w:pPr>
      <w:r w:rsidRPr="004A2139">
        <w:rPr>
          <w:color w:val="auto"/>
        </w:rPr>
        <w:lastRenderedPageBreak/>
        <w:t>A BILL</w:t>
      </w:r>
      <w:r w:rsidRPr="00575C69">
        <w:rPr>
          <w:color w:val="auto"/>
        </w:rPr>
        <w:t xml:space="preserve"> </w:t>
      </w:r>
      <w:r>
        <w:rPr>
          <w:color w:val="auto"/>
        </w:rPr>
        <w:t xml:space="preserve">to </w:t>
      </w:r>
      <w:r w:rsidRPr="004A2139">
        <w:rPr>
          <w:color w:val="auto"/>
        </w:rPr>
        <w:t>amend and reenact §21A-6-3 of the Code of West Virginia, 1931, as amended, relating to unemployment compensation; employee eligibility; and providing that a</w:t>
      </w:r>
      <w:r>
        <w:rPr>
          <w:color w:val="auto"/>
        </w:rPr>
        <w:t xml:space="preserve">n employee </w:t>
      </w:r>
      <w:r w:rsidRPr="004A2139">
        <w:rPr>
          <w:color w:val="auto"/>
        </w:rPr>
        <w:t xml:space="preserve">who fails random testing for alcohol or illegal controlled substances </w:t>
      </w:r>
      <w:r w:rsidRPr="00846B29">
        <w:rPr>
          <w:color w:val="auto"/>
        </w:rPr>
        <w:t>where alcohol or drug use creates an inherent risk to the health and safety of the employee or others, or</w:t>
      </w:r>
      <w:r>
        <w:rPr>
          <w:color w:val="auto"/>
        </w:rPr>
        <w:t xml:space="preserve"> the </w:t>
      </w:r>
      <w:r w:rsidRPr="004A2139">
        <w:rPr>
          <w:color w:val="auto"/>
        </w:rPr>
        <w:t xml:space="preserve">employee </w:t>
      </w:r>
      <w:r>
        <w:rPr>
          <w:color w:val="auto"/>
        </w:rPr>
        <w:t>is employed in a</w:t>
      </w:r>
      <w:r w:rsidRPr="004A2139">
        <w:rPr>
          <w:color w:val="auto"/>
        </w:rPr>
        <w:t xml:space="preserve"> safety-sensitive position is </w:t>
      </w:r>
      <w:r w:rsidRPr="004A2139">
        <w:rPr>
          <w:rFonts w:cs="Arial"/>
          <w:color w:val="auto"/>
        </w:rPr>
        <w:t>disqualified for benefits.</w:t>
      </w:r>
    </w:p>
    <w:p w14:paraId="19A52EBE" w14:textId="77777777" w:rsidR="008C01E4" w:rsidRPr="004A2139" w:rsidRDefault="008C01E4" w:rsidP="008C01E4">
      <w:pPr>
        <w:pStyle w:val="EnactingClause"/>
        <w:rPr>
          <w:color w:val="auto"/>
        </w:rPr>
      </w:pPr>
      <w:r w:rsidRPr="004A2139">
        <w:rPr>
          <w:color w:val="auto"/>
        </w:rPr>
        <w:t>Be it enacted by the Legislature of West Virginia:</w:t>
      </w:r>
    </w:p>
    <w:p w14:paraId="70FEE14C" w14:textId="77777777" w:rsidR="008C01E4" w:rsidRPr="004A2139" w:rsidRDefault="008C01E4" w:rsidP="008C01E4">
      <w:pPr>
        <w:pStyle w:val="EnactingClause"/>
        <w:rPr>
          <w:color w:val="auto"/>
        </w:rPr>
        <w:sectPr w:rsidR="008C01E4" w:rsidRPr="004A2139" w:rsidSect="008C01E4">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708D77B8" w14:textId="77777777" w:rsidR="00025513" w:rsidRPr="004A2139" w:rsidRDefault="00025513" w:rsidP="00025513">
      <w:pPr>
        <w:pStyle w:val="ArticleHeading"/>
        <w:rPr>
          <w:color w:val="auto"/>
        </w:rPr>
        <w:sectPr w:rsidR="00025513" w:rsidRPr="004A2139" w:rsidSect="00025513">
          <w:type w:val="continuous"/>
          <w:pgSz w:w="12240" w:h="15840" w:code="1"/>
          <w:pgMar w:top="1440" w:right="1440" w:bottom="1440" w:left="1440" w:header="720" w:footer="720" w:gutter="0"/>
          <w:lnNumType w:countBy="1" w:restart="newSection"/>
          <w:cols w:space="720"/>
          <w:titlePg/>
          <w:docGrid w:linePitch="360"/>
        </w:sectPr>
      </w:pPr>
      <w:r w:rsidRPr="004A2139">
        <w:rPr>
          <w:color w:val="auto"/>
        </w:rPr>
        <w:t>ARTICLE 6. EMPLOYEE ELIGIBILITY; BENEFITS.</w:t>
      </w:r>
    </w:p>
    <w:p w14:paraId="7E36BB63" w14:textId="77777777" w:rsidR="00025513" w:rsidRPr="004A2139" w:rsidRDefault="00025513" w:rsidP="00025513">
      <w:pPr>
        <w:pStyle w:val="SectionHeading"/>
        <w:rPr>
          <w:color w:val="auto"/>
        </w:rPr>
        <w:sectPr w:rsidR="00025513" w:rsidRPr="004A2139" w:rsidSect="00025513">
          <w:type w:val="continuous"/>
          <w:pgSz w:w="12240" w:h="15840" w:code="1"/>
          <w:pgMar w:top="1440" w:right="1440" w:bottom="1440" w:left="1440" w:header="720" w:footer="720" w:gutter="0"/>
          <w:lnNumType w:countBy="1" w:restart="newSection"/>
          <w:cols w:space="720"/>
          <w:titlePg/>
          <w:docGrid w:linePitch="360"/>
        </w:sectPr>
      </w:pPr>
      <w:r w:rsidRPr="004A2139">
        <w:rPr>
          <w:color w:val="auto"/>
        </w:rPr>
        <w:t>§21A-6-3. Disqualification for benefits.</w:t>
      </w:r>
    </w:p>
    <w:p w14:paraId="14BFB463" w14:textId="77777777" w:rsidR="00025513" w:rsidRPr="004A2139" w:rsidRDefault="00025513" w:rsidP="00025513">
      <w:pPr>
        <w:pStyle w:val="SectionBody"/>
        <w:rPr>
          <w:rFonts w:cs="Arial"/>
          <w:color w:val="auto"/>
        </w:rPr>
      </w:pPr>
      <w:r w:rsidRPr="004A2139">
        <w:rPr>
          <w:rFonts w:cs="Arial"/>
          <w:color w:val="auto"/>
        </w:rPr>
        <w:t>Upon the determination of the facts by the commissioner, an individual is disqualified for benefits:</w:t>
      </w:r>
    </w:p>
    <w:p w14:paraId="1977F157" w14:textId="77777777" w:rsidR="00025513" w:rsidRPr="004A2139" w:rsidRDefault="00025513" w:rsidP="00025513">
      <w:pPr>
        <w:pStyle w:val="SectionBody"/>
        <w:rPr>
          <w:color w:val="auto"/>
        </w:rPr>
      </w:pPr>
      <w:r w:rsidRPr="004A2139">
        <w:rPr>
          <w:color w:val="auto"/>
        </w:rPr>
        <w:t>(1) For the week in which he or she left his or her most recent work voluntarily without good cause involving fault on the part of the employer and until the individual returns to covered employment and has been employed in covered employment at least 30 working days.</w:t>
      </w:r>
    </w:p>
    <w:p w14:paraId="29725300" w14:textId="77777777" w:rsidR="00025513" w:rsidRPr="004A2139" w:rsidRDefault="00025513" w:rsidP="00025513">
      <w:pPr>
        <w:pStyle w:val="SectionBody"/>
        <w:rPr>
          <w:color w:val="auto"/>
        </w:rPr>
      </w:pPr>
      <w:r w:rsidRPr="004A2139">
        <w:rPr>
          <w:color w:val="auto"/>
        </w:rPr>
        <w:t xml:space="preserve">For the purpose of this subdivision, an individual has not left his or her most recent work voluntarily without good cause involving fault on the part of the employer if the individual leaves his or her most recent work with an employer and if he or she in fact, within a 14-day calendar period, does return to employment with the last preceding employer with whom he or she was previously employed within the past year prior to his or her return to work, and which last preceding employer, after having previously employed the individual for 30 working days or more, laid off the individual because of lack of work, which layoff occasioned the payment of benefits under this chapter or could have occasioned the payment of benefits under this chapter had the individual applied for benefits. It is the intent of this paragraph to cause no disqualification for benefits for an individual who complies with the foregoing set of requirements and conditions. Further, for the purpose of this subdivision, an individual has not left his or her most recent work voluntarily without good cause involving fault on the part of the employer, if the individual was compelled to leave his or her work for his or her own health-related reasons and notifies the </w:t>
      </w:r>
      <w:r w:rsidRPr="004A2139">
        <w:rPr>
          <w:color w:val="auto"/>
        </w:rPr>
        <w:lastRenderedPageBreak/>
        <w:t>employer prior to leaving the job or within two business days after leaving the job or as soon as practicable and presents written certification from a licensed physician within 30 days of leaving the job that his or her work aggravated, worsened, or will worsen the individual’s health problem.</w:t>
      </w:r>
    </w:p>
    <w:p w14:paraId="21E6E9EA" w14:textId="77777777" w:rsidR="00025513" w:rsidRPr="004A2139" w:rsidRDefault="00025513" w:rsidP="00025513">
      <w:pPr>
        <w:pStyle w:val="SectionBody"/>
        <w:rPr>
          <w:color w:val="auto"/>
        </w:rPr>
      </w:pPr>
      <w:r w:rsidRPr="004A2139">
        <w:rPr>
          <w:color w:val="auto"/>
        </w:rPr>
        <w:t>(2) For the week in which he or she was discharged from his or her most recent work for misconduct and the six weeks immediately following that week; or for the week in which he or she was discharged from his or her last 30-day employing unit for misconduct and the six weeks immediately following that week. The disqualification carries a reduction in the maximum benefit amount equal to six times the individual’s weekly benefit. However, if the claimant returns to work in covered employment for 30 days during his or her benefit year, whether or not the days are consecutive, the maximum benefit amount is increased by the amount of the decrease imposed under the disqualification; except that:</w:t>
      </w:r>
    </w:p>
    <w:p w14:paraId="32A8715A" w14:textId="77777777" w:rsidR="00025513" w:rsidRPr="004A2139" w:rsidRDefault="00025513" w:rsidP="00025513">
      <w:pPr>
        <w:pStyle w:val="SectionBody"/>
        <w:rPr>
          <w:color w:val="auto"/>
        </w:rPr>
      </w:pPr>
      <w:r w:rsidRPr="004A2139">
        <w:rPr>
          <w:color w:val="auto"/>
        </w:rPr>
        <w:t xml:space="preserve">If he or she were discharged from his or her most recent work for one of the following reasons, or if he or she were discharged from his or her last 30 days employing unit for one of the following reasons: Gross misconduct consisting of willful destruction of his or her employer’s property; assault upon the person of his or her employer or any employee of his or her employer; if the assault is committed at the individual’s place of employment or in the course of employment; reporting to work in an intoxicated condition, or being intoxicated while at work; reporting to work under the influence of any controlled substance, as defined in chapter 60A of this code without a valid prescription, or being under the influence of any controlled substance, as defined in said chapter without a valid prescription, while at work; adulterating or otherwise manipulating a sample or specimen in order to thwart a drug or alcohol test lawfully required of an employee; refusal to submit to, </w:t>
      </w:r>
      <w:r w:rsidRPr="004A2139">
        <w:rPr>
          <w:color w:val="auto"/>
          <w:u w:val="single"/>
        </w:rPr>
        <w:t>or failure of,</w:t>
      </w:r>
      <w:r w:rsidRPr="004A2139">
        <w:rPr>
          <w:color w:val="auto"/>
        </w:rPr>
        <w:t xml:space="preserve"> random testing for alcohol or illegal controlled substances for employees </w:t>
      </w:r>
      <w:bookmarkStart w:id="0" w:name="_Hlk191376497"/>
      <w:bookmarkStart w:id="1" w:name="_Hlk191376724"/>
      <w:r w:rsidRPr="0044277A">
        <w:rPr>
          <w:color w:val="auto"/>
          <w:u w:val="single"/>
        </w:rPr>
        <w:t xml:space="preserve">in an </w:t>
      </w:r>
      <w:r w:rsidRPr="0044277A">
        <w:rPr>
          <w:u w:val="single"/>
        </w:rPr>
        <w:t>employment</w:t>
      </w:r>
      <w:r>
        <w:rPr>
          <w:u w:val="single"/>
        </w:rPr>
        <w:t xml:space="preserve"> position where alcohol or drug use creates an inherent risk to the health and safety of the employee or others, or employees </w:t>
      </w:r>
      <w:bookmarkEnd w:id="0"/>
      <w:r w:rsidRPr="004A2139">
        <w:rPr>
          <w:color w:val="auto"/>
        </w:rPr>
        <w:t>in safety-sensitive positions as defined in §21-1D-2</w:t>
      </w:r>
      <w:bookmarkEnd w:id="1"/>
      <w:r w:rsidRPr="004A2139">
        <w:rPr>
          <w:color w:val="auto"/>
        </w:rPr>
        <w:t xml:space="preserve"> of this code; violation of an employer’s drug-free workplace program; violation of an employer’s alcohol-free workplace program; arson, theft, larceny, fraud, or embezzlement in </w:t>
      </w:r>
      <w:r w:rsidRPr="004A2139">
        <w:rPr>
          <w:color w:val="auto"/>
        </w:rPr>
        <w:lastRenderedPageBreak/>
        <w:t xml:space="preserve">connection with his or her work; or any other gross misconduct, he or she is disqualified for benefits until he or she has thereafter worked for at least 30 days in covered employment: </w:t>
      </w:r>
      <w:r w:rsidRPr="004A2139">
        <w:rPr>
          <w:i/>
          <w:iCs/>
          <w:color w:val="auto"/>
        </w:rPr>
        <w:t>Provided,</w:t>
      </w:r>
      <w:r w:rsidRPr="004A2139">
        <w:rPr>
          <w:color w:val="auto"/>
        </w:rPr>
        <w:t xml:space="preserve"> That for the purpose of this subdivision, the words "any other gross misconduct" includes, but is not limited to, any act or acts of misconduct where the individual has received prior written warning that termination of employment may result from the act or acts.</w:t>
      </w:r>
    </w:p>
    <w:p w14:paraId="03115E25" w14:textId="77777777" w:rsidR="00025513" w:rsidRPr="004A2139" w:rsidRDefault="00025513" w:rsidP="00025513">
      <w:pPr>
        <w:pStyle w:val="SectionBody"/>
        <w:rPr>
          <w:color w:val="auto"/>
        </w:rPr>
      </w:pPr>
      <w:r w:rsidRPr="004A2139">
        <w:rPr>
          <w:color w:val="auto"/>
        </w:rPr>
        <w:t>(3) For the week in which he or she failed without good cause to apply for available, suitable work, accept suitable work when offered, or return to his or her customary self-employment when directed to do so by the commissioner, and for the four weeks which immediately follow for such additional period as any offer of suitable work shall continue open for his or her acceptance. The disqualification carries a reduction in the maximum benefit amount equal to four times the individual’s weekly benefit amount.</w:t>
      </w:r>
    </w:p>
    <w:p w14:paraId="4C5559C1" w14:textId="77777777" w:rsidR="00025513" w:rsidRPr="004A2139" w:rsidRDefault="00025513" w:rsidP="00025513">
      <w:pPr>
        <w:pStyle w:val="SectionBody"/>
        <w:rPr>
          <w:color w:val="auto"/>
        </w:rPr>
      </w:pPr>
      <w:r w:rsidRPr="004A2139">
        <w:rPr>
          <w:color w:val="auto"/>
        </w:rPr>
        <w:t xml:space="preserve">(4) </w:t>
      </w:r>
      <w:r w:rsidRPr="004A2139">
        <w:rPr>
          <w:rFonts w:cs="Arial"/>
          <w:color w:val="auto"/>
        </w:rPr>
        <w:t>For</w:t>
      </w:r>
      <w:r w:rsidRPr="004A2139">
        <w:rPr>
          <w:color w:val="auto"/>
        </w:rPr>
        <w:t xml:space="preserve"> any week or portion thereof in which he or she did not work as a result of:</w:t>
      </w:r>
    </w:p>
    <w:p w14:paraId="01611052" w14:textId="77777777" w:rsidR="00025513" w:rsidRPr="004A2139" w:rsidRDefault="00025513" w:rsidP="00025513">
      <w:pPr>
        <w:pStyle w:val="SectionBody"/>
        <w:rPr>
          <w:color w:val="auto"/>
        </w:rPr>
      </w:pPr>
      <w:r w:rsidRPr="004A2139">
        <w:rPr>
          <w:color w:val="auto"/>
        </w:rPr>
        <w:t xml:space="preserve">(a) A strike or other bona fide labor dispute which caused him or her to leave or lose his or her employment. </w:t>
      </w:r>
    </w:p>
    <w:p w14:paraId="03BBBDAF" w14:textId="77777777" w:rsidR="00025513" w:rsidRPr="004A2139" w:rsidRDefault="00025513" w:rsidP="00025513">
      <w:pPr>
        <w:pStyle w:val="SectionBody"/>
        <w:rPr>
          <w:color w:val="auto"/>
        </w:rPr>
      </w:pPr>
      <w:r w:rsidRPr="004A2139">
        <w:rPr>
          <w:color w:val="auto"/>
        </w:rPr>
        <w:t xml:space="preserve">(b) A lockout is not a strike or a bona fide labor dispute and no individual may be denied benefits by reason of a lockout. However, the operation of a facility by </w:t>
      </w:r>
      <w:proofErr w:type="spellStart"/>
      <w:r w:rsidRPr="004A2139">
        <w:rPr>
          <w:color w:val="auto"/>
        </w:rPr>
        <w:t>nonstriking</w:t>
      </w:r>
      <w:proofErr w:type="spellEnd"/>
      <w:r w:rsidRPr="004A2139">
        <w:rPr>
          <w:color w:val="auto"/>
        </w:rPr>
        <w:t xml:space="preserve"> employees of the company, contractors, or other personnel is not a reason to grant employees of the company on strike unemployment compensation benefit payments.  If the operation of a facility is with workers hired to permanently replace the employees on strike, the employees would be eligible for benefits.</w:t>
      </w:r>
    </w:p>
    <w:p w14:paraId="54689646" w14:textId="77777777" w:rsidR="00025513" w:rsidRPr="004A2139" w:rsidRDefault="00025513" w:rsidP="00025513">
      <w:pPr>
        <w:pStyle w:val="SectionBody"/>
        <w:rPr>
          <w:color w:val="auto"/>
        </w:rPr>
      </w:pPr>
      <w:r w:rsidRPr="004A2139">
        <w:rPr>
          <w:color w:val="auto"/>
        </w:rPr>
        <w:t>(c) For the purpose of this subsection, an individual shall be determined to leave or lose his or her employment by reason of a lockout where the individual employee has established that: (i) The individual presented himself or herself physically for work at the workplace on the first day of such lockout or on the first day he or she is able to present himself at the workplace or herself; and (ii) the employer denied the individual the opportunity to perform work.</w:t>
      </w:r>
    </w:p>
    <w:p w14:paraId="4B59ED81" w14:textId="77777777" w:rsidR="00025513" w:rsidRPr="004A2139" w:rsidRDefault="00025513" w:rsidP="00025513">
      <w:pPr>
        <w:pStyle w:val="SectionBody"/>
        <w:rPr>
          <w:color w:val="auto"/>
        </w:rPr>
      </w:pPr>
      <w:r w:rsidRPr="004A2139">
        <w:rPr>
          <w:color w:val="auto"/>
        </w:rPr>
        <w:t xml:space="preserve">(d) For purposes of this subsection, an individual is determined to be permanently </w:t>
      </w:r>
      <w:r w:rsidRPr="004A2139">
        <w:rPr>
          <w:color w:val="auto"/>
        </w:rPr>
        <w:lastRenderedPageBreak/>
        <w:t xml:space="preserve">replaced where the individual employee establishes that: (i) He or she is currently employed by an employer who is the subject of a strike or other bona fide labor dispute; and (ii) the position of the employee has been occupied by another employee who has been notified they are permanently replacing the employee who previously occupied the position. Employees or contractors who are hired to perform striking employees’ work on a temporary basis, such as the duration of a strike or other bona fide labor dispute, or a shorter period of time, may not be determined to have permanently replaced a striking employee.  </w:t>
      </w:r>
    </w:p>
    <w:p w14:paraId="53F941EF" w14:textId="77777777" w:rsidR="00025513" w:rsidRPr="004A2139" w:rsidRDefault="00025513" w:rsidP="00025513">
      <w:pPr>
        <w:pStyle w:val="SectionBody"/>
        <w:rPr>
          <w:color w:val="auto"/>
        </w:rPr>
      </w:pPr>
      <w:r w:rsidRPr="004A2139">
        <w:rPr>
          <w:color w:val="auto"/>
        </w:rPr>
        <w:t>(5) For a week with respect to which he or she is receiving or has received:</w:t>
      </w:r>
    </w:p>
    <w:p w14:paraId="1C634006" w14:textId="77777777" w:rsidR="00025513" w:rsidRPr="004A2139" w:rsidRDefault="00025513" w:rsidP="00025513">
      <w:pPr>
        <w:pStyle w:val="SectionBody"/>
        <w:rPr>
          <w:color w:val="auto"/>
        </w:rPr>
      </w:pPr>
      <w:r w:rsidRPr="004A2139">
        <w:rPr>
          <w:color w:val="auto"/>
        </w:rPr>
        <w:t>(a) Wages in lieu of notice;</w:t>
      </w:r>
    </w:p>
    <w:p w14:paraId="269BE39F" w14:textId="77777777" w:rsidR="00025513" w:rsidRPr="004A2139" w:rsidRDefault="00025513" w:rsidP="00025513">
      <w:pPr>
        <w:pStyle w:val="SectionBody"/>
        <w:rPr>
          <w:color w:val="auto"/>
        </w:rPr>
      </w:pPr>
      <w:r w:rsidRPr="004A2139">
        <w:rPr>
          <w:color w:val="auto"/>
        </w:rPr>
        <w:t>(b) Compensation for temporary total disability under the workers’ compensation law of any state or under a similar law of the United States; or</w:t>
      </w:r>
    </w:p>
    <w:p w14:paraId="45782281" w14:textId="77777777" w:rsidR="00025513" w:rsidRPr="004A2139" w:rsidRDefault="00025513" w:rsidP="00025513">
      <w:pPr>
        <w:pStyle w:val="SectionBody"/>
        <w:rPr>
          <w:color w:val="auto"/>
        </w:rPr>
      </w:pPr>
      <w:r w:rsidRPr="004A2139">
        <w:rPr>
          <w:color w:val="auto"/>
        </w:rPr>
        <w:t>(c) Unemployment compensation benefits under the laws of the United States or any other state.</w:t>
      </w:r>
    </w:p>
    <w:p w14:paraId="2CD07D3D" w14:textId="77777777" w:rsidR="00025513" w:rsidRPr="004A2139" w:rsidRDefault="00025513" w:rsidP="00025513">
      <w:pPr>
        <w:pStyle w:val="SectionBody"/>
        <w:rPr>
          <w:color w:val="auto"/>
        </w:rPr>
      </w:pPr>
      <w:r w:rsidRPr="004A2139">
        <w:rPr>
          <w:color w:val="auto"/>
        </w:rPr>
        <w:t xml:space="preserve">(6) For the week in which an individual has voluntarily quit employment to marry or to perform any marital, parental, or family duty, or to attend to his or her personal business or affairs and until the individual returns to covered employment and has been employed in covered employment at least 30 working days: </w:t>
      </w:r>
      <w:r w:rsidRPr="004A2139">
        <w:rPr>
          <w:i/>
          <w:iCs/>
          <w:color w:val="auto"/>
        </w:rPr>
        <w:t>Provided,</w:t>
      </w:r>
      <w:r w:rsidRPr="004A2139">
        <w:rPr>
          <w:color w:val="auto"/>
        </w:rPr>
        <w:t xml:space="preserve"> That an individual who has voluntarily quit employment to accompany a spouse serving in active military service who has been reassigned from one military assignment to another is not disqualified for benefits pursuant to this subdivision: </w:t>
      </w:r>
      <w:r w:rsidRPr="004A2139">
        <w:rPr>
          <w:i/>
          <w:iCs/>
          <w:color w:val="auto"/>
        </w:rPr>
        <w:t>Provided, however,</w:t>
      </w:r>
      <w:r w:rsidRPr="004A2139">
        <w:rPr>
          <w:color w:val="auto"/>
        </w:rPr>
        <w:t xml:space="preserve"> That the account of the employer of an individual who leaves the employment to accompany a spouse reassigned from one military assignment to another may not be charged.</w:t>
      </w:r>
    </w:p>
    <w:p w14:paraId="556166D9" w14:textId="77777777" w:rsidR="00025513" w:rsidRPr="004A2139" w:rsidRDefault="00025513" w:rsidP="00025513">
      <w:pPr>
        <w:pStyle w:val="SectionBody"/>
        <w:rPr>
          <w:color w:val="auto"/>
        </w:rPr>
      </w:pPr>
      <w:r w:rsidRPr="004A2139">
        <w:rPr>
          <w:color w:val="auto"/>
        </w:rPr>
        <w:t xml:space="preserve">(7) Benefits may not be paid to any individual on the basis of any services, substantially all of which consist of participating in sports or athletic events or training or preparing to so participate, for any week which commences during the period between two successive sport seasons (or similar periods) if the individual performed the services in the first of the seasons (or similar periods) and there is a reasonable assurance that the individual will perform the services </w:t>
      </w:r>
      <w:r w:rsidRPr="004A2139">
        <w:rPr>
          <w:color w:val="auto"/>
        </w:rPr>
        <w:lastRenderedPageBreak/>
        <w:t>in the later of the seasons (or similar periods).</w:t>
      </w:r>
    </w:p>
    <w:p w14:paraId="14B37CEF" w14:textId="77777777" w:rsidR="00025513" w:rsidRPr="004A2139" w:rsidRDefault="00025513" w:rsidP="00025513">
      <w:pPr>
        <w:pStyle w:val="SectionBody"/>
        <w:rPr>
          <w:color w:val="auto"/>
        </w:rPr>
      </w:pPr>
      <w:r w:rsidRPr="004A2139">
        <w:rPr>
          <w:color w:val="auto"/>
        </w:rPr>
        <w:t>(8) (a) Benefits may not be paid on the basis of services performed by an alien unless the alien is an individual who was lawfully admitted for permanent residence at the time the services were performed, was lawfully present for purposes of performing the services or was permanently residing in the United States under color of law at the time the services were performed (including an alien who is lawfully present in the United States as a result of the application of the provisions of Section 203(a)(7) or Section 212(d)(5) of the Immigration and Nationality Act):</w:t>
      </w:r>
      <w:r w:rsidRPr="004A2139">
        <w:rPr>
          <w:i/>
          <w:iCs/>
          <w:color w:val="auto"/>
        </w:rPr>
        <w:t xml:space="preserve"> Provided,</w:t>
      </w:r>
      <w:r w:rsidRPr="004A2139">
        <w:rPr>
          <w:color w:val="auto"/>
        </w:rPr>
        <w:t xml:space="preserve"> That any modifications to the provisions of Section 3304(a)(14) of the federal Unemployment Tax Act as provided by Public Law 94-566 which specify other conditions or other effective date than stated in this subdivision for the denial of benefits based on services performed by aliens and which modifications are required to be implemented under state law as a condition for full tax credit against the tax imposed by the federal Unemployment Tax Act are applicable under the provisions of this section.</w:t>
      </w:r>
    </w:p>
    <w:p w14:paraId="44CC9818" w14:textId="77777777" w:rsidR="00025513" w:rsidRPr="004A2139" w:rsidRDefault="00025513" w:rsidP="00025513">
      <w:pPr>
        <w:pStyle w:val="SectionBody"/>
        <w:rPr>
          <w:color w:val="auto"/>
        </w:rPr>
      </w:pPr>
      <w:r w:rsidRPr="004A2139">
        <w:rPr>
          <w:color w:val="auto"/>
        </w:rPr>
        <w:t>(b) Any data or information required of individuals applying for benefits to determine whether benefits are not payable to them because of their alien status shall be uniformly required from all applicants for benefits.</w:t>
      </w:r>
    </w:p>
    <w:p w14:paraId="77F39E31" w14:textId="77777777" w:rsidR="00025513" w:rsidRPr="004A2139" w:rsidRDefault="00025513" w:rsidP="00025513">
      <w:pPr>
        <w:pStyle w:val="SectionBody"/>
        <w:rPr>
          <w:color w:val="auto"/>
        </w:rPr>
      </w:pPr>
      <w:r w:rsidRPr="004A2139">
        <w:rPr>
          <w:color w:val="auto"/>
        </w:rPr>
        <w:t>(c) In the case of an individual whose application for benefits would otherwise be approved, no determination that benefits to the individual are not payable because of his or her alien status may be made except upon a preponderance of the evidence.</w:t>
      </w:r>
    </w:p>
    <w:p w14:paraId="5808B6F5" w14:textId="77777777" w:rsidR="00025513" w:rsidRPr="004A2139" w:rsidRDefault="00025513" w:rsidP="00025513">
      <w:pPr>
        <w:pStyle w:val="SectionBody"/>
        <w:rPr>
          <w:color w:val="auto"/>
        </w:rPr>
      </w:pPr>
      <w:r w:rsidRPr="004A2139">
        <w:rPr>
          <w:color w:val="auto"/>
        </w:rPr>
        <w:t>(9) For each week in which an individual is unemployed because, having voluntarily left employment to attend a school, college, university, or other educational institution, he or she is attending that school, college, university, or other educational institution, or is awaiting entrance thereto or is awaiting the starting of a new term or session thereof, and until the individual returns to covered employment.</w:t>
      </w:r>
    </w:p>
    <w:p w14:paraId="615FCA44" w14:textId="77777777" w:rsidR="00025513" w:rsidRPr="004A2139" w:rsidRDefault="00025513" w:rsidP="00025513">
      <w:pPr>
        <w:pStyle w:val="SectionBody"/>
        <w:rPr>
          <w:color w:val="auto"/>
        </w:rPr>
      </w:pPr>
      <w:r w:rsidRPr="004A2139">
        <w:rPr>
          <w:color w:val="auto"/>
        </w:rPr>
        <w:t xml:space="preserve">(10) For each week in which he or she is unemployed because of his or her request, or that of his or her duly authorized agent, for a vacation period at a specified time that would leave </w:t>
      </w:r>
      <w:r w:rsidRPr="004A2139">
        <w:rPr>
          <w:color w:val="auto"/>
        </w:rPr>
        <w:lastRenderedPageBreak/>
        <w:t>the employer no other alternative but to suspend operations.</w:t>
      </w:r>
    </w:p>
    <w:p w14:paraId="32DF76CF" w14:textId="77777777" w:rsidR="00025513" w:rsidRPr="004A2139" w:rsidRDefault="00025513" w:rsidP="00025513">
      <w:pPr>
        <w:pStyle w:val="SectionBody"/>
        <w:rPr>
          <w:color w:val="auto"/>
        </w:rPr>
      </w:pPr>
      <w:r w:rsidRPr="004A2139">
        <w:rPr>
          <w:color w:val="auto"/>
        </w:rPr>
        <w:t>(11) In the case of an individual who accepts an early retirement incentive package, unless he or she: (i) Establishes a well-grounded fear of imminent layoff supported by definitive objective facts involving fault on the part of the employer; and (ii) establishes that he or she would suffer a substantial loss by not accepting the early retirement incentive package.</w:t>
      </w:r>
    </w:p>
    <w:p w14:paraId="41DDB073" w14:textId="77777777" w:rsidR="00025513" w:rsidRPr="004A2139" w:rsidRDefault="00025513" w:rsidP="00025513">
      <w:pPr>
        <w:pStyle w:val="SectionBody"/>
        <w:rPr>
          <w:color w:val="auto"/>
        </w:rPr>
      </w:pPr>
      <w:r w:rsidRPr="004A2139">
        <w:rPr>
          <w:color w:val="auto"/>
        </w:rPr>
        <w:t xml:space="preserve">(12) For each week with respect to which he or she is receiving or has received benefits under Title II of the Social Security Act or similar payments under any Act of Congress, or remuneration in the form of an annuity, pension, or other retirement pay from a base period employer or chargeable employer or from any trust or fund contributed to by a base period employer or chargeable employer or any combination of the above, the weekly benefit amount payable to the individual for that week shall be reduced (but not below zero) by the prorated weekly amount of those benefits, payments, or remuneration: </w:t>
      </w:r>
      <w:r w:rsidRPr="004A2139">
        <w:rPr>
          <w:i/>
          <w:iCs/>
          <w:color w:val="auto"/>
        </w:rPr>
        <w:t>Provided,</w:t>
      </w:r>
      <w:r w:rsidRPr="004A2139">
        <w:rPr>
          <w:color w:val="auto"/>
        </w:rPr>
        <w:t xml:space="preserve"> That if the amount of benefits is not a multiple of $1, it shall be computed to the next lowest multiple of $1: </w:t>
      </w:r>
      <w:r w:rsidRPr="004A2139">
        <w:rPr>
          <w:i/>
          <w:iCs/>
          <w:color w:val="auto"/>
        </w:rPr>
        <w:t>Provided, however,</w:t>
      </w:r>
      <w:r w:rsidRPr="004A2139">
        <w:rPr>
          <w:color w:val="auto"/>
        </w:rPr>
        <w:t xml:space="preserve"> That there is no disqualification if in the individual’s base period there are no wages which were paid by the base period employer or chargeable employer paying the remuneration, or by a fund into which the employer has paid during the base period: </w:t>
      </w:r>
      <w:r w:rsidRPr="004A2139">
        <w:rPr>
          <w:i/>
          <w:iCs/>
          <w:color w:val="auto"/>
        </w:rPr>
        <w:t>Provided further,</w:t>
      </w:r>
      <w:r w:rsidRPr="004A2139">
        <w:rPr>
          <w:color w:val="auto"/>
        </w:rPr>
        <w:t xml:space="preserve"> That notwithstanding any other provision of this subdivision to the contrary, the weekly benefit amount payable to the individual for that week may not be reduced by any retirement benefits he or she is receiving or has received under Title II of the Social Security Act or similar payments under any Act of Congress. A claimant may be required to certify as to whether or not he or she is receiving or has been receiving remuneration in the form of an annuity, pension, or other retirement pay from a base period employer or chargeable employer or from a trust fund contributed to by a base period employer or chargeable employer.</w:t>
      </w:r>
    </w:p>
    <w:p w14:paraId="70C71007" w14:textId="77777777" w:rsidR="00025513" w:rsidRPr="004A2139" w:rsidRDefault="00025513" w:rsidP="00025513">
      <w:pPr>
        <w:pStyle w:val="SectionBody"/>
        <w:rPr>
          <w:color w:val="auto"/>
        </w:rPr>
      </w:pPr>
      <w:r w:rsidRPr="004A2139">
        <w:rPr>
          <w:color w:val="auto"/>
        </w:rPr>
        <w:t xml:space="preserve">(13) For each week in which and for 52 weeks thereafter, beginning with the date of the decision, if the commissioner finds the individual who within 24 calendar months immediately preceding the decision, has made a false statement or representation knowing it to be false or </w:t>
      </w:r>
      <w:r w:rsidRPr="004A2139">
        <w:rPr>
          <w:color w:val="auto"/>
        </w:rPr>
        <w:lastRenderedPageBreak/>
        <w:t xml:space="preserve">knowingly fails to disclose a material fact, to obtain or increase any benefit or payment under this article: </w:t>
      </w:r>
      <w:r w:rsidRPr="004A2139">
        <w:rPr>
          <w:i/>
          <w:iCs/>
          <w:color w:val="auto"/>
        </w:rPr>
        <w:t>Provided,</w:t>
      </w:r>
      <w:r w:rsidRPr="004A2139">
        <w:rPr>
          <w:color w:val="auto"/>
        </w:rPr>
        <w:t xml:space="preserve"> That disqualification under this subdivision does not preclude prosecution under §21A-10-7 of this code.</w:t>
      </w:r>
    </w:p>
    <w:p w14:paraId="63538D78" w14:textId="77777777" w:rsidR="008C01E4" w:rsidRPr="004A2139" w:rsidRDefault="008C01E4" w:rsidP="008C01E4">
      <w:pPr>
        <w:pStyle w:val="Note"/>
        <w:rPr>
          <w:color w:val="auto"/>
        </w:rPr>
      </w:pPr>
    </w:p>
    <w:p w14:paraId="17672CDB" w14:textId="77777777" w:rsidR="008C01E4" w:rsidRPr="004A2139" w:rsidRDefault="008C01E4" w:rsidP="008C01E4">
      <w:pPr>
        <w:pStyle w:val="Note"/>
        <w:rPr>
          <w:color w:val="auto"/>
        </w:rPr>
      </w:pPr>
      <w:r w:rsidRPr="004A2139">
        <w:rPr>
          <w:color w:val="auto"/>
        </w:rPr>
        <w:t xml:space="preserve">NOTE: The purpose of this bill is to provide that a person, who fails a random testing for alcohol or illegal controlled substances for employees in safety-sensitive positions, is </w:t>
      </w:r>
      <w:r w:rsidRPr="004A2139">
        <w:rPr>
          <w:rFonts w:cs="Arial"/>
          <w:color w:val="auto"/>
        </w:rPr>
        <w:t xml:space="preserve">disqualified for </w:t>
      </w:r>
      <w:r w:rsidRPr="004A2139">
        <w:rPr>
          <w:color w:val="auto"/>
        </w:rPr>
        <w:t>unemployment compensation</w:t>
      </w:r>
      <w:r w:rsidRPr="004A2139">
        <w:rPr>
          <w:rFonts w:cs="Arial"/>
          <w:color w:val="auto"/>
        </w:rPr>
        <w:t xml:space="preserve"> benefits.</w:t>
      </w:r>
    </w:p>
    <w:p w14:paraId="6C30957D" w14:textId="77777777" w:rsidR="008C01E4" w:rsidRPr="004A2139" w:rsidRDefault="008C01E4" w:rsidP="008C01E4">
      <w:pPr>
        <w:pStyle w:val="Note"/>
        <w:rPr>
          <w:color w:val="auto"/>
        </w:rPr>
      </w:pPr>
      <w:r w:rsidRPr="004A2139">
        <w:rPr>
          <w:color w:val="auto"/>
        </w:rPr>
        <w:t>Strike-throughs indicate language that would be stricken from a heading or the present law and underscoring indicates new language that would be added.</w:t>
      </w:r>
    </w:p>
    <w:p w14:paraId="1EE3C4A3" w14:textId="77777777" w:rsidR="008C01E4" w:rsidRDefault="008C01E4" w:rsidP="008C01E4">
      <w:pPr>
        <w:pStyle w:val="References"/>
      </w:pPr>
    </w:p>
    <w:p w14:paraId="22FB6E2B" w14:textId="77777777" w:rsidR="00E831B3" w:rsidRDefault="00E831B3" w:rsidP="004B7F95">
      <w:pPr>
        <w:pStyle w:val="References"/>
      </w:pPr>
    </w:p>
    <w:sectPr w:rsidR="00E831B3" w:rsidSect="008C01E4">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FC73A6" w14:textId="77777777" w:rsidR="00C05A88" w:rsidRPr="00B844FE" w:rsidRDefault="00C05A88" w:rsidP="00B844FE">
      <w:r>
        <w:separator/>
      </w:r>
    </w:p>
  </w:endnote>
  <w:endnote w:type="continuationSeparator" w:id="0">
    <w:p w14:paraId="2E857753" w14:textId="77777777" w:rsidR="00C05A88" w:rsidRPr="00B844FE" w:rsidRDefault="00C05A8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1C4A0" w14:textId="77777777" w:rsidR="008C01E4" w:rsidRDefault="008C01E4" w:rsidP="001E66A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E211633" w14:textId="77777777" w:rsidR="008C01E4" w:rsidRPr="008C01E4" w:rsidRDefault="008C01E4" w:rsidP="008C01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0C009" w14:textId="77777777" w:rsidR="008C01E4" w:rsidRDefault="008C01E4" w:rsidP="001E66A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243E1F2" w14:textId="77777777" w:rsidR="008C01E4" w:rsidRPr="008C01E4" w:rsidRDefault="008C01E4" w:rsidP="008C01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3CEF3" w14:textId="77777777" w:rsidR="008C01E4" w:rsidRPr="008C01E4" w:rsidRDefault="008C01E4" w:rsidP="008C01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9EE682" w14:textId="77777777" w:rsidR="00C05A88" w:rsidRPr="00B844FE" w:rsidRDefault="00C05A88" w:rsidP="00B844FE">
      <w:r>
        <w:separator/>
      </w:r>
    </w:p>
  </w:footnote>
  <w:footnote w:type="continuationSeparator" w:id="0">
    <w:p w14:paraId="3398E76A" w14:textId="77777777" w:rsidR="00C05A88" w:rsidRPr="00B844FE" w:rsidRDefault="00C05A8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4EFDF" w14:textId="77777777" w:rsidR="008C01E4" w:rsidRPr="008C01E4" w:rsidRDefault="008C01E4" w:rsidP="008C01E4">
    <w:pPr>
      <w:pStyle w:val="Header"/>
    </w:pPr>
    <w:r>
      <w:t>CS for CS for HB 2441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DFE18" w14:textId="77777777" w:rsidR="008C01E4" w:rsidRPr="008C01E4" w:rsidRDefault="008C01E4" w:rsidP="008C01E4">
    <w:pPr>
      <w:pStyle w:val="Header"/>
    </w:pPr>
    <w:r>
      <w:t>CS for CS for HB 2441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160FA" w14:textId="77777777" w:rsidR="008C01E4" w:rsidRPr="008C01E4" w:rsidRDefault="008C01E4" w:rsidP="008C01E4">
    <w:pPr>
      <w:pStyle w:val="Header"/>
    </w:pPr>
    <w:r>
      <w:t>CS for CS for HB 2441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605648940">
    <w:abstractNumId w:val="0"/>
  </w:num>
  <w:num w:numId="2" w16cid:durableId="12875905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A88"/>
    <w:rsid w:val="00002112"/>
    <w:rsid w:val="0000526A"/>
    <w:rsid w:val="00025513"/>
    <w:rsid w:val="00070339"/>
    <w:rsid w:val="00085D22"/>
    <w:rsid w:val="000C5C77"/>
    <w:rsid w:val="000F421C"/>
    <w:rsid w:val="0010070F"/>
    <w:rsid w:val="0011072C"/>
    <w:rsid w:val="00112A73"/>
    <w:rsid w:val="0014399F"/>
    <w:rsid w:val="0015112E"/>
    <w:rsid w:val="001552E7"/>
    <w:rsid w:val="001566B4"/>
    <w:rsid w:val="00175B38"/>
    <w:rsid w:val="001C279E"/>
    <w:rsid w:val="001D459E"/>
    <w:rsid w:val="00235E7C"/>
    <w:rsid w:val="0027011C"/>
    <w:rsid w:val="00273E72"/>
    <w:rsid w:val="00274200"/>
    <w:rsid w:val="00275740"/>
    <w:rsid w:val="002A0269"/>
    <w:rsid w:val="00301F44"/>
    <w:rsid w:val="00303684"/>
    <w:rsid w:val="003143F5"/>
    <w:rsid w:val="00314854"/>
    <w:rsid w:val="00353A5B"/>
    <w:rsid w:val="003A29E1"/>
    <w:rsid w:val="003C51CD"/>
    <w:rsid w:val="003F24E4"/>
    <w:rsid w:val="004247A2"/>
    <w:rsid w:val="004449C3"/>
    <w:rsid w:val="004708CE"/>
    <w:rsid w:val="004A18DF"/>
    <w:rsid w:val="004B2795"/>
    <w:rsid w:val="004B7F95"/>
    <w:rsid w:val="004C13DD"/>
    <w:rsid w:val="004E3441"/>
    <w:rsid w:val="004E5CD5"/>
    <w:rsid w:val="004F508D"/>
    <w:rsid w:val="005A5366"/>
    <w:rsid w:val="00637E73"/>
    <w:rsid w:val="00665226"/>
    <w:rsid w:val="006865E9"/>
    <w:rsid w:val="00691F3E"/>
    <w:rsid w:val="00694BFB"/>
    <w:rsid w:val="006A106B"/>
    <w:rsid w:val="006A15B5"/>
    <w:rsid w:val="006C523D"/>
    <w:rsid w:val="006D4036"/>
    <w:rsid w:val="006E6C41"/>
    <w:rsid w:val="007E02CF"/>
    <w:rsid w:val="007F1CF5"/>
    <w:rsid w:val="00821404"/>
    <w:rsid w:val="00827DAD"/>
    <w:rsid w:val="00834EDE"/>
    <w:rsid w:val="008736AA"/>
    <w:rsid w:val="008752AF"/>
    <w:rsid w:val="008C01E4"/>
    <w:rsid w:val="008D275D"/>
    <w:rsid w:val="008E6473"/>
    <w:rsid w:val="008F4D9B"/>
    <w:rsid w:val="00980327"/>
    <w:rsid w:val="0099673D"/>
    <w:rsid w:val="009F1067"/>
    <w:rsid w:val="00A15A7C"/>
    <w:rsid w:val="00A15FAD"/>
    <w:rsid w:val="00A200F4"/>
    <w:rsid w:val="00A31E01"/>
    <w:rsid w:val="00A349C6"/>
    <w:rsid w:val="00A527AD"/>
    <w:rsid w:val="00A718CF"/>
    <w:rsid w:val="00A72E7C"/>
    <w:rsid w:val="00AC3B58"/>
    <w:rsid w:val="00AE48A0"/>
    <w:rsid w:val="00AE61BE"/>
    <w:rsid w:val="00B16F25"/>
    <w:rsid w:val="00B24422"/>
    <w:rsid w:val="00B80C20"/>
    <w:rsid w:val="00B837E9"/>
    <w:rsid w:val="00B844FE"/>
    <w:rsid w:val="00BC562B"/>
    <w:rsid w:val="00C05A88"/>
    <w:rsid w:val="00C33014"/>
    <w:rsid w:val="00C33434"/>
    <w:rsid w:val="00C34869"/>
    <w:rsid w:val="00C42EB6"/>
    <w:rsid w:val="00C85096"/>
    <w:rsid w:val="00CB20EF"/>
    <w:rsid w:val="00CD12CB"/>
    <w:rsid w:val="00CD36CF"/>
    <w:rsid w:val="00CD3F81"/>
    <w:rsid w:val="00CF1DCA"/>
    <w:rsid w:val="00D579FC"/>
    <w:rsid w:val="00DE526B"/>
    <w:rsid w:val="00DF199D"/>
    <w:rsid w:val="00E01542"/>
    <w:rsid w:val="00E365F1"/>
    <w:rsid w:val="00E62F48"/>
    <w:rsid w:val="00E831B3"/>
    <w:rsid w:val="00EB203E"/>
    <w:rsid w:val="00EE70CB"/>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05CFD8"/>
  <w15:chartTrackingRefBased/>
  <w15:docId w15:val="{89A638CF-6F8A-48FF-8050-82EBC02B3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4B7F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4B7F95"/>
    <w:pPr>
      <w:spacing w:line="240" w:lineRule="auto"/>
    </w:pPr>
  </w:style>
  <w:style w:type="paragraph" w:customStyle="1" w:styleId="SectionHeadingOld">
    <w:name w:val="Section Heading Old"/>
    <w:next w:val="SectionBodyOld"/>
    <w:link w:val="SectionHeadingOldChar"/>
    <w:rsid w:val="004B7F95"/>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4B7F95"/>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4B7F95"/>
    <w:rPr>
      <w:rFonts w:eastAsia="Calibri"/>
      <w:b/>
      <w:color w:val="000000"/>
    </w:rPr>
  </w:style>
  <w:style w:type="paragraph" w:customStyle="1" w:styleId="ChapterHeadingOld">
    <w:name w:val="Chapter Heading Old"/>
    <w:next w:val="ArticleHeadingOld"/>
    <w:link w:val="ChapterHeadingOldChar"/>
    <w:rsid w:val="004B7F95"/>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4B7F95"/>
    <w:rPr>
      <w:rFonts w:eastAsia="Calibri"/>
      <w:b/>
      <w:caps/>
      <w:color w:val="000000"/>
      <w:sz w:val="24"/>
    </w:rPr>
  </w:style>
  <w:style w:type="paragraph" w:customStyle="1" w:styleId="BillNumberOld">
    <w:name w:val="Bill Number Old"/>
    <w:next w:val="SponsorsOld"/>
    <w:link w:val="BillNumberOldChar"/>
    <w:autoRedefine/>
    <w:rsid w:val="004B7F95"/>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4B7F95"/>
    <w:rPr>
      <w:rFonts w:eastAsia="Calibri"/>
      <w:b/>
      <w:caps/>
      <w:color w:val="000000"/>
      <w:sz w:val="28"/>
    </w:rPr>
  </w:style>
  <w:style w:type="paragraph" w:customStyle="1" w:styleId="SponsorsOld">
    <w:name w:val="Sponsors Old"/>
    <w:next w:val="ReferencesOld"/>
    <w:link w:val="SponsorsOldChar"/>
    <w:autoRedefine/>
    <w:rsid w:val="004B7F95"/>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4B7F95"/>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4B7F95"/>
    <w:rPr>
      <w:i/>
      <w:iCs/>
      <w:color w:val="404040" w:themeColor="text1" w:themeTint="BF"/>
    </w:rPr>
  </w:style>
  <w:style w:type="paragraph" w:customStyle="1" w:styleId="NoteOld">
    <w:name w:val="Note Old"/>
    <w:basedOn w:val="NoSpacing"/>
    <w:link w:val="NoteOldChar"/>
    <w:autoRedefine/>
    <w:rsid w:val="004B7F95"/>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4B7F95"/>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4B7F95"/>
  </w:style>
  <w:style w:type="character" w:customStyle="1" w:styleId="NoteOldChar">
    <w:name w:val="Note Old Char"/>
    <w:link w:val="NoteOld"/>
    <w:rsid w:val="004B7F95"/>
    <w:rPr>
      <w:rFonts w:eastAsia="Calibri"/>
      <w:color w:val="000000"/>
      <w:sz w:val="20"/>
    </w:rPr>
  </w:style>
  <w:style w:type="paragraph" w:customStyle="1" w:styleId="TitleSectionOld">
    <w:name w:val="Title Section Old"/>
    <w:next w:val="EnactingClauseOld"/>
    <w:link w:val="TitleSectionOldChar"/>
    <w:autoRedefine/>
    <w:rsid w:val="004B7F95"/>
    <w:pPr>
      <w:pageBreakBefore/>
      <w:ind w:left="720" w:hanging="720"/>
      <w:jc w:val="both"/>
    </w:pPr>
    <w:rPr>
      <w:rFonts w:eastAsia="Calibri"/>
      <w:color w:val="000000"/>
    </w:rPr>
  </w:style>
  <w:style w:type="character" w:customStyle="1" w:styleId="SectionBodyOldChar">
    <w:name w:val="Section Body Old Char"/>
    <w:link w:val="SectionBodyOld"/>
    <w:rsid w:val="004B7F95"/>
    <w:rPr>
      <w:rFonts w:eastAsia="Calibri"/>
      <w:color w:val="000000"/>
    </w:rPr>
  </w:style>
  <w:style w:type="paragraph" w:customStyle="1" w:styleId="EnactingSectionOld">
    <w:name w:val="Enacting Section Old"/>
    <w:link w:val="EnactingSectionOldChar"/>
    <w:autoRedefine/>
    <w:rsid w:val="004B7F95"/>
    <w:pPr>
      <w:ind w:firstLine="720"/>
      <w:jc w:val="both"/>
    </w:pPr>
    <w:rPr>
      <w:rFonts w:eastAsia="Calibri"/>
      <w:color w:val="000000"/>
    </w:rPr>
  </w:style>
  <w:style w:type="character" w:customStyle="1" w:styleId="TitleSectionOldChar">
    <w:name w:val="Title Section Old Char"/>
    <w:link w:val="TitleSectionOld"/>
    <w:rsid w:val="004B7F95"/>
    <w:rPr>
      <w:rFonts w:eastAsia="Calibri"/>
      <w:color w:val="000000"/>
    </w:rPr>
  </w:style>
  <w:style w:type="paragraph" w:customStyle="1" w:styleId="PartHeadingOld">
    <w:name w:val="Part Heading Old"/>
    <w:next w:val="SectionHeadingOld"/>
    <w:link w:val="PartHeadingOldChar"/>
    <w:rsid w:val="004B7F95"/>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4B7F95"/>
    <w:rPr>
      <w:rFonts w:eastAsia="Calibri"/>
      <w:color w:val="000000"/>
    </w:rPr>
  </w:style>
  <w:style w:type="paragraph" w:styleId="ListParagraph">
    <w:name w:val="List Paragraph"/>
    <w:basedOn w:val="Normal"/>
    <w:uiPriority w:val="34"/>
    <w:locked/>
    <w:rsid w:val="004B7F95"/>
    <w:pPr>
      <w:ind w:left="720"/>
      <w:contextualSpacing/>
    </w:pPr>
  </w:style>
  <w:style w:type="character" w:customStyle="1" w:styleId="PartHeadingOldChar">
    <w:name w:val="Part Heading Old Char"/>
    <w:link w:val="PartHeadingOld"/>
    <w:rsid w:val="004B7F95"/>
    <w:rPr>
      <w:rFonts w:eastAsia="Calibri"/>
      <w:smallCaps/>
      <w:color w:val="000000"/>
      <w:sz w:val="24"/>
    </w:rPr>
  </w:style>
  <w:style w:type="paragraph" w:customStyle="1" w:styleId="TitlePageOriginOld">
    <w:name w:val="Title Page: Origin Old"/>
    <w:next w:val="TitlePageSessionOld"/>
    <w:link w:val="TitlePageOriginOldChar"/>
    <w:autoRedefine/>
    <w:rsid w:val="004B7F95"/>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4B7F95"/>
    <w:rPr>
      <w:rFonts w:eastAsia="Calibri"/>
      <w:color w:val="000000"/>
      <w:sz w:val="24"/>
    </w:rPr>
  </w:style>
  <w:style w:type="character" w:styleId="LineNumber">
    <w:name w:val="line number"/>
    <w:basedOn w:val="DefaultParagraphFont"/>
    <w:uiPriority w:val="99"/>
    <w:semiHidden/>
    <w:locked/>
    <w:rsid w:val="004B7F95"/>
  </w:style>
  <w:style w:type="paragraph" w:customStyle="1" w:styleId="EnactingClauseOld">
    <w:name w:val="Enacting Clause Old"/>
    <w:next w:val="EnactingSectionOld"/>
    <w:link w:val="EnactingClauseOldChar"/>
    <w:autoRedefine/>
    <w:rsid w:val="004B7F95"/>
    <w:pPr>
      <w:suppressLineNumbers/>
    </w:pPr>
    <w:rPr>
      <w:rFonts w:eastAsia="Calibri"/>
      <w:i/>
      <w:color w:val="000000"/>
    </w:rPr>
  </w:style>
  <w:style w:type="character" w:customStyle="1" w:styleId="SponsorsOldChar">
    <w:name w:val="Sponsors Old Char"/>
    <w:basedOn w:val="DefaultParagraphFont"/>
    <w:link w:val="SponsorsOld"/>
    <w:rsid w:val="004B7F95"/>
    <w:rPr>
      <w:rFonts w:eastAsia="Calibri"/>
      <w:smallCaps/>
      <w:color w:val="000000"/>
      <w:sz w:val="24"/>
    </w:rPr>
  </w:style>
  <w:style w:type="character" w:customStyle="1" w:styleId="EnactingClauseOldChar">
    <w:name w:val="Enacting Clause Old Char"/>
    <w:basedOn w:val="DefaultParagraphFont"/>
    <w:link w:val="EnactingClauseOld"/>
    <w:rsid w:val="004B7F95"/>
    <w:rPr>
      <w:rFonts w:eastAsia="Calibri"/>
      <w:i/>
      <w:color w:val="000000"/>
    </w:rPr>
  </w:style>
  <w:style w:type="paragraph" w:styleId="Salutation">
    <w:name w:val="Salutation"/>
    <w:basedOn w:val="Normal"/>
    <w:next w:val="Normal"/>
    <w:link w:val="SalutationChar"/>
    <w:uiPriority w:val="99"/>
    <w:semiHidden/>
    <w:locked/>
    <w:rsid w:val="004B7F95"/>
  </w:style>
  <w:style w:type="character" w:customStyle="1" w:styleId="SalutationChar">
    <w:name w:val="Salutation Char"/>
    <w:basedOn w:val="DefaultParagraphFont"/>
    <w:link w:val="Salutation"/>
    <w:uiPriority w:val="99"/>
    <w:semiHidden/>
    <w:rsid w:val="004B7F95"/>
  </w:style>
  <w:style w:type="character" w:customStyle="1" w:styleId="BillNumberOldChar">
    <w:name w:val="Bill Number Old Char"/>
    <w:basedOn w:val="DefaultParagraphFont"/>
    <w:link w:val="BillNumberOld"/>
    <w:rsid w:val="004B7F95"/>
    <w:rPr>
      <w:rFonts w:eastAsia="Calibri"/>
      <w:b/>
      <w:color w:val="000000"/>
      <w:sz w:val="44"/>
    </w:rPr>
  </w:style>
  <w:style w:type="paragraph" w:customStyle="1" w:styleId="TitlePageSessionOld">
    <w:name w:val="Title Page: Session Old"/>
    <w:next w:val="TitlePageBillPrefixOld"/>
    <w:link w:val="TitlePageSessionOldChar"/>
    <w:autoRedefine/>
    <w:rsid w:val="004B7F95"/>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4B7F95"/>
    <w:rPr>
      <w:rFonts w:eastAsia="Calibri"/>
      <w:b/>
      <w:caps/>
      <w:color w:val="000000"/>
      <w:sz w:val="44"/>
    </w:rPr>
  </w:style>
  <w:style w:type="paragraph" w:customStyle="1" w:styleId="TitlePageBillPrefixOld">
    <w:name w:val="Title Page: Bill Prefix Old"/>
    <w:next w:val="BillNumberOld"/>
    <w:link w:val="TitlePageBillPrefixOldChar"/>
    <w:autoRedefine/>
    <w:rsid w:val="004B7F95"/>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4B7F95"/>
    <w:rPr>
      <w:rFonts w:eastAsia="Calibri"/>
      <w:b/>
      <w:caps/>
      <w:color w:val="000000"/>
      <w:sz w:val="36"/>
    </w:rPr>
  </w:style>
  <w:style w:type="paragraph" w:styleId="Header">
    <w:name w:val="header"/>
    <w:basedOn w:val="Normal"/>
    <w:link w:val="HeaderChar"/>
    <w:uiPriority w:val="99"/>
    <w:semiHidden/>
    <w:rsid w:val="004B7F95"/>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4B7F95"/>
    <w:rPr>
      <w:rFonts w:eastAsia="Calibri"/>
      <w:b/>
      <w:color w:val="000000"/>
      <w:sz w:val="36"/>
    </w:rPr>
  </w:style>
  <w:style w:type="character" w:customStyle="1" w:styleId="HeaderChar">
    <w:name w:val="Header Char"/>
    <w:basedOn w:val="DefaultParagraphFont"/>
    <w:link w:val="Header"/>
    <w:uiPriority w:val="99"/>
    <w:semiHidden/>
    <w:rsid w:val="004B7F95"/>
  </w:style>
  <w:style w:type="paragraph" w:styleId="Footer">
    <w:name w:val="footer"/>
    <w:basedOn w:val="Normal"/>
    <w:link w:val="FooterChar"/>
    <w:uiPriority w:val="99"/>
    <w:rsid w:val="004B7F95"/>
    <w:pPr>
      <w:tabs>
        <w:tab w:val="center" w:pos="4680"/>
        <w:tab w:val="right" w:pos="9360"/>
      </w:tabs>
      <w:spacing w:line="240" w:lineRule="auto"/>
    </w:pPr>
  </w:style>
  <w:style w:type="character" w:customStyle="1" w:styleId="FooterChar">
    <w:name w:val="Footer Char"/>
    <w:basedOn w:val="DefaultParagraphFont"/>
    <w:link w:val="Footer"/>
    <w:uiPriority w:val="99"/>
    <w:rsid w:val="004B7F95"/>
  </w:style>
  <w:style w:type="character" w:styleId="PlaceholderText">
    <w:name w:val="Placeholder Text"/>
    <w:basedOn w:val="DefaultParagraphFont"/>
    <w:uiPriority w:val="99"/>
    <w:semiHidden/>
    <w:locked/>
    <w:rsid w:val="004B7F95"/>
    <w:rPr>
      <w:color w:val="808080"/>
    </w:rPr>
  </w:style>
  <w:style w:type="paragraph" w:customStyle="1" w:styleId="HeaderStyleOld">
    <w:name w:val="Header Style Old"/>
    <w:basedOn w:val="Header"/>
    <w:link w:val="HeaderStyleOldChar"/>
    <w:autoRedefine/>
    <w:rsid w:val="004B7F95"/>
    <w:rPr>
      <w:sz w:val="20"/>
      <w:szCs w:val="20"/>
    </w:rPr>
  </w:style>
  <w:style w:type="character" w:customStyle="1" w:styleId="HeaderStyleOldChar">
    <w:name w:val="Header Style Old Char"/>
    <w:basedOn w:val="HeaderChar"/>
    <w:link w:val="HeaderStyleOld"/>
    <w:rsid w:val="004B7F95"/>
    <w:rPr>
      <w:sz w:val="20"/>
      <w:szCs w:val="20"/>
    </w:rPr>
  </w:style>
  <w:style w:type="character" w:customStyle="1" w:styleId="Underline">
    <w:name w:val="Underline"/>
    <w:uiPriority w:val="1"/>
    <w:rsid w:val="004B7F95"/>
    <w:rPr>
      <w:rFonts w:ascii="Arial" w:hAnsi="Arial"/>
      <w:color w:val="auto"/>
      <w:sz w:val="22"/>
      <w:u w:val="single"/>
    </w:rPr>
  </w:style>
  <w:style w:type="paragraph" w:customStyle="1" w:styleId="ArticleHeading">
    <w:name w:val="Article Heading"/>
    <w:basedOn w:val="ArticleHeadingOld"/>
    <w:link w:val="ArticleHeadingChar"/>
    <w:qFormat/>
    <w:rsid w:val="004B7F95"/>
  </w:style>
  <w:style w:type="paragraph" w:customStyle="1" w:styleId="BillNumber">
    <w:name w:val="Bill Number"/>
    <w:basedOn w:val="BillNumberOld"/>
    <w:qFormat/>
    <w:rsid w:val="004B7F95"/>
  </w:style>
  <w:style w:type="paragraph" w:customStyle="1" w:styleId="ChapterHeading">
    <w:name w:val="Chapter Heading"/>
    <w:basedOn w:val="ChapterHeadingOld"/>
    <w:next w:val="Normal"/>
    <w:qFormat/>
    <w:rsid w:val="004B7F95"/>
  </w:style>
  <w:style w:type="paragraph" w:customStyle="1" w:styleId="EnactingClause">
    <w:name w:val="Enacting Clause"/>
    <w:basedOn w:val="EnactingClauseOld"/>
    <w:qFormat/>
    <w:rsid w:val="004B7F95"/>
  </w:style>
  <w:style w:type="paragraph" w:customStyle="1" w:styleId="EnactingSection">
    <w:name w:val="Enacting Section"/>
    <w:basedOn w:val="EnactingSectionOld"/>
    <w:qFormat/>
    <w:rsid w:val="004B7F95"/>
  </w:style>
  <w:style w:type="paragraph" w:customStyle="1" w:styleId="HeaderStyle">
    <w:name w:val="Header Style"/>
    <w:basedOn w:val="HeaderStyleOld"/>
    <w:qFormat/>
    <w:rsid w:val="004B7F95"/>
  </w:style>
  <w:style w:type="paragraph" w:customStyle="1" w:styleId="Note">
    <w:name w:val="Note"/>
    <w:basedOn w:val="NoteOld"/>
    <w:qFormat/>
    <w:rsid w:val="004B7F95"/>
  </w:style>
  <w:style w:type="paragraph" w:customStyle="1" w:styleId="PartHeading">
    <w:name w:val="Part Heading"/>
    <w:basedOn w:val="PartHeadingOld"/>
    <w:qFormat/>
    <w:rsid w:val="004B7F95"/>
  </w:style>
  <w:style w:type="paragraph" w:customStyle="1" w:styleId="References">
    <w:name w:val="References"/>
    <w:basedOn w:val="ReferencesOld"/>
    <w:qFormat/>
    <w:rsid w:val="004B7F95"/>
  </w:style>
  <w:style w:type="paragraph" w:customStyle="1" w:styleId="SectionBody">
    <w:name w:val="Section Body"/>
    <w:basedOn w:val="SectionBodyOld"/>
    <w:link w:val="SectionBodyChar"/>
    <w:qFormat/>
    <w:rsid w:val="004B7F95"/>
  </w:style>
  <w:style w:type="paragraph" w:customStyle="1" w:styleId="SectionHeading">
    <w:name w:val="Section Heading"/>
    <w:basedOn w:val="SectionHeadingOld"/>
    <w:link w:val="SectionHeadingChar"/>
    <w:qFormat/>
    <w:rsid w:val="004B7F95"/>
  </w:style>
  <w:style w:type="paragraph" w:customStyle="1" w:styleId="Sponsors">
    <w:name w:val="Sponsors"/>
    <w:basedOn w:val="SponsorsOld"/>
    <w:qFormat/>
    <w:rsid w:val="004B7F95"/>
  </w:style>
  <w:style w:type="paragraph" w:customStyle="1" w:styleId="TitlePageBillPrefix">
    <w:name w:val="Title Page: Bill Prefix"/>
    <w:basedOn w:val="TitlePageBillPrefixOld"/>
    <w:qFormat/>
    <w:rsid w:val="004B7F95"/>
  </w:style>
  <w:style w:type="paragraph" w:customStyle="1" w:styleId="TitlePageOrigin">
    <w:name w:val="Title Page: Origin"/>
    <w:basedOn w:val="TitlePageOriginOld"/>
    <w:qFormat/>
    <w:rsid w:val="004B7F95"/>
  </w:style>
  <w:style w:type="paragraph" w:customStyle="1" w:styleId="TitlePageSession">
    <w:name w:val="Title Page: Session"/>
    <w:basedOn w:val="TitlePageSessionOld"/>
    <w:qFormat/>
    <w:rsid w:val="004B7F95"/>
  </w:style>
  <w:style w:type="paragraph" w:customStyle="1" w:styleId="TitleSection">
    <w:name w:val="Title Section"/>
    <w:basedOn w:val="TitleSectionOld"/>
    <w:qFormat/>
    <w:rsid w:val="004B7F95"/>
  </w:style>
  <w:style w:type="character" w:customStyle="1" w:styleId="Strike-Through">
    <w:name w:val="Strike-Through"/>
    <w:uiPriority w:val="1"/>
    <w:rsid w:val="004B7F95"/>
    <w:rPr>
      <w:strike/>
      <w:dstrike w:val="0"/>
      <w:color w:val="auto"/>
    </w:rPr>
  </w:style>
  <w:style w:type="character" w:customStyle="1" w:styleId="ArticleHeadingChar">
    <w:name w:val="Article Heading Char"/>
    <w:link w:val="ArticleHeading"/>
    <w:rsid w:val="008C01E4"/>
    <w:rPr>
      <w:rFonts w:eastAsia="Calibri"/>
      <w:b/>
      <w:caps/>
      <w:color w:val="000000"/>
      <w:sz w:val="24"/>
    </w:rPr>
  </w:style>
  <w:style w:type="character" w:customStyle="1" w:styleId="SectionHeadingChar">
    <w:name w:val="Section Heading Char"/>
    <w:link w:val="SectionHeading"/>
    <w:rsid w:val="008C01E4"/>
    <w:rPr>
      <w:rFonts w:eastAsia="Calibri"/>
      <w:b/>
      <w:color w:val="000000"/>
    </w:rPr>
  </w:style>
  <w:style w:type="character" w:customStyle="1" w:styleId="SectionBodyChar">
    <w:name w:val="Section Body Char"/>
    <w:link w:val="SectionBody"/>
    <w:rsid w:val="008C01E4"/>
    <w:rPr>
      <w:rFonts w:eastAsia="Calibri"/>
      <w:color w:val="000000"/>
    </w:rPr>
  </w:style>
  <w:style w:type="character" w:styleId="PageNumber">
    <w:name w:val="page number"/>
    <w:basedOn w:val="DefaultParagraphFont"/>
    <w:uiPriority w:val="99"/>
    <w:semiHidden/>
    <w:locked/>
    <w:rsid w:val="008C01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for%20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BC56ED9899645F1B8FD738CDE55A236"/>
        <w:category>
          <w:name w:val="General"/>
          <w:gallery w:val="placeholder"/>
        </w:category>
        <w:types>
          <w:type w:val="bbPlcHdr"/>
        </w:types>
        <w:behaviors>
          <w:behavior w:val="content"/>
        </w:behaviors>
        <w:guid w:val="{5B356052-817A-4162-9457-E10BE0125FD8}"/>
      </w:docPartPr>
      <w:docPartBody>
        <w:p w:rsidR="00246F8B" w:rsidRDefault="00246F8B">
          <w:pPr>
            <w:pStyle w:val="9BC56ED9899645F1B8FD738CDE55A236"/>
          </w:pPr>
          <w:r w:rsidRPr="00B844FE">
            <w:t>[Type here]</w:t>
          </w:r>
        </w:p>
      </w:docPartBody>
    </w:docPart>
    <w:docPart>
      <w:docPartPr>
        <w:name w:val="80C2DDE908AB4333B1AF44E3DB86B0C2"/>
        <w:category>
          <w:name w:val="General"/>
          <w:gallery w:val="placeholder"/>
        </w:category>
        <w:types>
          <w:type w:val="bbPlcHdr"/>
        </w:types>
        <w:behaviors>
          <w:behavior w:val="content"/>
        </w:behaviors>
        <w:guid w:val="{2AB12ECD-69BD-485A-BFEB-58DC2ACFBFB4}"/>
      </w:docPartPr>
      <w:docPartBody>
        <w:p w:rsidR="00246F8B" w:rsidRDefault="00246F8B">
          <w:pPr>
            <w:pStyle w:val="80C2DDE908AB4333B1AF44E3DB86B0C2"/>
          </w:pPr>
          <w:r w:rsidRPr="00B844FE">
            <w:t>Prefix Text</w:t>
          </w:r>
        </w:p>
      </w:docPartBody>
    </w:docPart>
    <w:docPart>
      <w:docPartPr>
        <w:name w:val="DFBC7EE94D964264B94845AB21BA653C"/>
        <w:category>
          <w:name w:val="General"/>
          <w:gallery w:val="placeholder"/>
        </w:category>
        <w:types>
          <w:type w:val="bbPlcHdr"/>
        </w:types>
        <w:behaviors>
          <w:behavior w:val="content"/>
        </w:behaviors>
        <w:guid w:val="{24FE6481-5492-42A4-B501-171D6B5614B2}"/>
      </w:docPartPr>
      <w:docPartBody>
        <w:p w:rsidR="00246F8B" w:rsidRDefault="00246F8B">
          <w:pPr>
            <w:pStyle w:val="DFBC7EE94D964264B94845AB21BA653C"/>
          </w:pPr>
          <w:r w:rsidRPr="00B844FE">
            <w:t>[Type here]</w:t>
          </w:r>
        </w:p>
      </w:docPartBody>
    </w:docPart>
    <w:docPart>
      <w:docPartPr>
        <w:name w:val="CA79228F0EFD4749A542AD0115583887"/>
        <w:category>
          <w:name w:val="General"/>
          <w:gallery w:val="placeholder"/>
        </w:category>
        <w:types>
          <w:type w:val="bbPlcHdr"/>
        </w:types>
        <w:behaviors>
          <w:behavior w:val="content"/>
        </w:behaviors>
        <w:guid w:val="{281D3C90-CEB1-4957-983F-F34ACB206AD5}"/>
      </w:docPartPr>
      <w:docPartBody>
        <w:p w:rsidR="00246F8B" w:rsidRDefault="00246F8B">
          <w:pPr>
            <w:pStyle w:val="CA79228F0EFD4749A542AD0115583887"/>
          </w:pPr>
          <w:r w:rsidRPr="00B844FE">
            <w:t>Number</w:t>
          </w:r>
        </w:p>
      </w:docPartBody>
    </w:docPart>
    <w:docPart>
      <w:docPartPr>
        <w:name w:val="23A38D634173422E83535A649B9AF2D2"/>
        <w:category>
          <w:name w:val="General"/>
          <w:gallery w:val="placeholder"/>
        </w:category>
        <w:types>
          <w:type w:val="bbPlcHdr"/>
        </w:types>
        <w:behaviors>
          <w:behavior w:val="content"/>
        </w:behaviors>
        <w:guid w:val="{FE951FAB-6BA8-40BF-9BB5-D2CA563203A3}"/>
      </w:docPartPr>
      <w:docPartBody>
        <w:p w:rsidR="00246F8B" w:rsidRDefault="00246F8B">
          <w:pPr>
            <w:pStyle w:val="23A38D634173422E83535A649B9AF2D2"/>
          </w:pPr>
          <w:r>
            <w:rPr>
              <w:rStyle w:val="PlaceholderText"/>
            </w:rPr>
            <w:t>February 12, 2025</w:t>
          </w:r>
        </w:p>
      </w:docPartBody>
    </w:docPart>
    <w:docPart>
      <w:docPartPr>
        <w:name w:val="4184D69E04874CA588DE97230A4FEE42"/>
        <w:category>
          <w:name w:val="General"/>
          <w:gallery w:val="placeholder"/>
        </w:category>
        <w:types>
          <w:type w:val="bbPlcHdr"/>
        </w:types>
        <w:behaviors>
          <w:behavior w:val="content"/>
        </w:behaviors>
        <w:guid w:val="{02D00A7D-101F-4542-952E-99992F7DCFA8}"/>
      </w:docPartPr>
      <w:docPartBody>
        <w:p w:rsidR="00246F8B" w:rsidRDefault="00246F8B">
          <w:pPr>
            <w:pStyle w:val="4184D69E04874CA588DE97230A4FEE42"/>
          </w:pPr>
          <w:r>
            <w:rPr>
              <w:rStyle w:val="PlaceholderText"/>
            </w:rPr>
            <w:t>Enter Committee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F8B"/>
    <w:rsid w:val="000F421C"/>
    <w:rsid w:val="00246F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BC56ED9899645F1B8FD738CDE55A236">
    <w:name w:val="9BC56ED9899645F1B8FD738CDE55A236"/>
  </w:style>
  <w:style w:type="paragraph" w:customStyle="1" w:styleId="80C2DDE908AB4333B1AF44E3DB86B0C2">
    <w:name w:val="80C2DDE908AB4333B1AF44E3DB86B0C2"/>
  </w:style>
  <w:style w:type="paragraph" w:customStyle="1" w:styleId="DFBC7EE94D964264B94845AB21BA653C">
    <w:name w:val="DFBC7EE94D964264B94845AB21BA653C"/>
  </w:style>
  <w:style w:type="paragraph" w:customStyle="1" w:styleId="CA79228F0EFD4749A542AD0115583887">
    <w:name w:val="CA79228F0EFD4749A542AD0115583887"/>
  </w:style>
  <w:style w:type="paragraph" w:customStyle="1" w:styleId="3C56C3DBD7604911A48D34A32A3F4A18">
    <w:name w:val="3C56C3DBD7604911A48D34A32A3F4A18"/>
  </w:style>
  <w:style w:type="character" w:styleId="PlaceholderText">
    <w:name w:val="Placeholder Text"/>
    <w:basedOn w:val="DefaultParagraphFont"/>
    <w:uiPriority w:val="99"/>
    <w:semiHidden/>
    <w:rsid w:val="00246F8B"/>
    <w:rPr>
      <w:color w:val="808080"/>
    </w:rPr>
  </w:style>
  <w:style w:type="paragraph" w:customStyle="1" w:styleId="23A38D634173422E83535A649B9AF2D2">
    <w:name w:val="23A38D634173422E83535A649B9AF2D2"/>
  </w:style>
  <w:style w:type="paragraph" w:customStyle="1" w:styleId="4184D69E04874CA588DE97230A4FEE42">
    <w:name w:val="4184D69E04874CA588DE97230A4FEE42"/>
  </w:style>
  <w:style w:type="paragraph" w:customStyle="1" w:styleId="DC0D5F4A92D347F88D31D45778ABF34E">
    <w:name w:val="DC0D5F4A92D347F88D31D45778ABF34E"/>
    <w:rsid w:val="00246F8B"/>
  </w:style>
  <w:style w:type="paragraph" w:customStyle="1" w:styleId="A94544A64F7748DC83A05835C9E5AF66">
    <w:name w:val="A94544A64F7748DC83A05835C9E5AF66"/>
    <w:rsid w:val="00246F8B"/>
  </w:style>
  <w:style w:type="paragraph" w:customStyle="1" w:styleId="17A76709320D479C83B5857A09DEE9AC">
    <w:name w:val="17A76709320D479C83B5857A09DEE9AC"/>
    <w:rsid w:val="00246F8B"/>
  </w:style>
  <w:style w:type="paragraph" w:customStyle="1" w:styleId="220CED795FDB493A9A7187D76EF92317">
    <w:name w:val="220CED795FDB493A9A7187D76EF92317"/>
    <w:rsid w:val="00246F8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8011B0-E8AA-4A66-9F4C-8FC712400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for Committee Substitute Bill Shell - House</Template>
  <TotalTime>1</TotalTime>
  <Pages>8</Pages>
  <Words>2393</Words>
  <Characters>12031</Characters>
  <Application>Microsoft Office Word</Application>
  <DocSecurity>0</DocSecurity>
  <Lines>179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Osborne</dc:creator>
  <cp:keywords/>
  <dc:description/>
  <cp:lastModifiedBy>Daniel Osborne</cp:lastModifiedBy>
  <cp:revision>2</cp:revision>
  <cp:lastPrinted>2025-02-28T14:53:00Z</cp:lastPrinted>
  <dcterms:created xsi:type="dcterms:W3CDTF">2025-02-28T14:54:00Z</dcterms:created>
  <dcterms:modified xsi:type="dcterms:W3CDTF">2025-02-28T14:54:00Z</dcterms:modified>
</cp:coreProperties>
</file>